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ПЛЕНУМ ВЕРХОВНОГО СУДА РОССИЙСКОЙ ФЕДЕРАЦИИ</w:t>
      </w:r>
      <w:bookmarkStart w:id="0" w:name="_GoBack"/>
      <w:bookmarkEnd w:id="0"/>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4"/>
          <w:szCs w:val="24"/>
          <w:lang w:eastAsia="ru-RU"/>
        </w:rPr>
        <w:t> </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ПОСТАНОВЛЕНИЕ</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от 28 ноября 2017 г. N 46</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 </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О НЕКОТОРЫХ ВОПРОСАХ,</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ВОЗНИКАЮЩИХ ПРИ РАССМОТРЕНИИ СУДЬЯМИ ДЕЛ О ПРИВЛЕЧЕНИИ</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К АДМИНИСТРАТИВНОЙ ОТВЕТСТВЕННОСТИ ПО СТАТЬЕ 19.29 КОДЕКСА</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РОССИЙСКОЙ ФЕДЕРАЦИИ ОБ АДМИНИСТРАТИВНЫХ ПРАВОНАРУШЕНИЯХ</w:t>
      </w:r>
    </w:p>
    <w:p w:rsidR="00201D64" w:rsidRPr="00201D64" w:rsidRDefault="00201D64" w:rsidP="00201D64">
      <w:pPr>
        <w:spacing w:after="0" w:line="240" w:lineRule="auto"/>
        <w:jc w:val="center"/>
        <w:rPr>
          <w:rFonts w:ascii="Times New Roman" w:eastAsia="Times New Roman" w:hAnsi="Times New Roman" w:cs="Times New Roman"/>
          <w:color w:val="242424"/>
          <w:sz w:val="24"/>
          <w:szCs w:val="24"/>
          <w:lang w:eastAsia="ru-RU"/>
        </w:rPr>
      </w:pPr>
      <w:r w:rsidRPr="00201D64">
        <w:rPr>
          <w:rFonts w:ascii="Arial" w:eastAsia="Times New Roman" w:hAnsi="Arial" w:cs="Arial"/>
          <w:b/>
          <w:bCs/>
          <w:color w:val="242424"/>
          <w:sz w:val="24"/>
          <w:szCs w:val="24"/>
          <w:lang w:eastAsia="ru-RU"/>
        </w:rPr>
        <w:t> </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В целях обеспечения единства практики применения судьями судов общей юрисдикции положений статьи 19.29 Кодекса Российской Федерации об административных правонарушениях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 Статья 19.29 Кодекса Российской Федерации об административных правонарушениях (далее - КоАП РФ) устанавливает административную ответственность работодателя или заказчика работ (услуг)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закона от 25 декабря 2008 года N 273-ФЗ "О противодействии коррупции" (далее - Федеральный закон "О противодействии коррупции").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Исходя из взаимосвязанных положений частей 4 и 5 статьи 12 Федерального закона "О противодействии коррупции" объективная сторона состава административного правонарушения, предусмотренного статьей 19.29 КоАП РФ,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Ограничения и обязанности, предусмотренные частями 1 и 2 статьи 12 Федерального закона "О противодействии коррупции", налагаются на бывшего государственного (муниципального) служащего, и их несоблюдение не может являться основанием привлечения работодателя (заказчика работ (услуг) бывшего государственного (муниципального) служащего к административной ответственности по статье 19.29 КоАП РФ.</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2. При рассмотрении дел об административных правонарушениях по статье 19.29 КоАП РФ следует учитывать, что предусмотренная частью 4 статьи 12 Федерального закона "О противодействии коррупции"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 xml:space="preserve">3. При решении вопроса о привлечении к административной ответственности по статье 19.29 КоАП РФ необходимо принимать во внимание, что под указанными в статье 12 Федерального закона "О противодействии коррупции"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w:t>
      </w:r>
      <w:r w:rsidRPr="00201D64">
        <w:rPr>
          <w:rFonts w:ascii="Arial" w:eastAsia="Times New Roman" w:hAnsi="Arial" w:cs="Arial"/>
          <w:color w:val="242424"/>
          <w:sz w:val="20"/>
          <w:szCs w:val="20"/>
          <w:lang w:eastAsia="ru-RU"/>
        </w:rPr>
        <w:lastRenderedPageBreak/>
        <w:t>муниципальной службы), при замещении которых государственные служащие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поскольку принятие последних также обусловлено предусмотренными законодательством мерами по противодействию коррупции.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4. Неисполнение работодателем обязанности направить представителю нанимателя (работодателю) бывшего государственного (муниципального) служащего сообщение о заключении с ним трудового (гражданско-правового) договора не образует объективную сторону состава административного правонарушения, предусмотренного статьей 19.29 КоАП РФ, если в период прохождения бывшим государственным (муниципальным) служащим государственной (муниципальной) службы замещаемая им должность не была включена в Перечни либо была исключена из них к дате заключения трудового (гражданско-правового) договора.</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5. Судьям следует учитывать,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При этом исходя из смысла статьи 12 Федерального закона "О противодействии коррупции" обязанность, предусмотренную частью 4 названной статьи, несут организации независимо от их организационно-правовой формы.</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6. При рассмотрении дел о привлечении к административной ответственности по статье 19.29 КоАП РФ следует учитывать, что предусмотренная частью 4 статьи 12 Федерального закона "О противодействии коррупции"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(муниципального) служащего и количества заключенных им за этот период трудовых договоров.</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Не является нарушением требований части 4 статьи 12 Федерального закона "О противодействии коррупции"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При этом заключение с бывшим государственным (муниципальным) служащим трудового договора о выполнении им в свободное от основной работы время другой регулярной оплачиваемой работы у другого работодателя (внешнее совместительство) влечет обязанность последнего сообщить о заключении трудового договора по совместительству представителю нанимателя (работодателю) бывшего государственного (муниципального) служащего по последнему месту его службы.</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7. При уклонении работодателя от оформления с бывшим государственным (муниципальным) служащим трудового договора или его ненадлежащем оформлении виновное лицо может быть привлечено к административной ответственности, предусмотренной частями 4 или 5 статьи 5.27 КоАП РФ.</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Кроме того,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(часть третья статьи 16 Трудового кодекса Российской Федерации) в течение десяти дней и более не исключает возможности привлечения данного лица к административной ответственности также по статье 19.29 КоАП РФ, поскольку данный срок предусмотрен для выполнения работодателем обязанности, предусмотренной частью 4 статьи 12 Федерального закона "О противодействии коррупции".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8. Если на момент заключения трудового (гражданско-правового) договора с бывшим государственным (муниципальным) служащим государственный (муниципальный) орган, в котором данное лицо проходило государственную (муниципальную) службу, реорганизован или упразднен, соответствующее сообщение подлежит направлению в государственный (муниципальный) орган, который осуществляет функции реорганизованного (упраздненного) органа.</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 xml:space="preserve">В случае, когда функции реорганизованного (упраздненного) государственного (муниципального) органа распределены между несколькими государственными (муниципальными) </w:t>
      </w:r>
      <w:r w:rsidRPr="00201D64">
        <w:rPr>
          <w:rFonts w:ascii="Arial" w:eastAsia="Times New Roman" w:hAnsi="Arial" w:cs="Arial"/>
          <w:color w:val="242424"/>
          <w:sz w:val="20"/>
          <w:szCs w:val="20"/>
          <w:lang w:eastAsia="ru-RU"/>
        </w:rPr>
        <w:lastRenderedPageBreak/>
        <w:t>органами, допустимо направление соответствующих сведений в любой государственный (муниципальный) орган, который осуществляет функции реорганизованного (упраздненного) органа.</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9. Предусмотренный Федеральным законом "О противодействии коррупции" десятидневный срок для направления сообщения о заключении трудового (гражданско-правового) договора с бывшим государственным (муниципальным) служащим, исчисляемый в календарном порядке, начинает течь со дня,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 В случае если последний день срока исполнения указанной обязанности приходится на нерабочий день, то днем окончания срока считается ближайший следующий за ним рабочий день.</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10. При решении вопроса о наличии объективной стороны состава административного правонарушения, предусмотренного статьей 19.29 КоАП РФ, следует учитывать, что сообщение о заключении договора с бывшим государственным (муниципальным) служащим представителю нанимателя (работодателю) государственного или муниципального служащего по последнему месту его службы должно быть направлено с соблюдением порядка, устанавливаемого нормативными правовыми актами Российской Федерации, включая требования к форме и содержанию данного сообщения.</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11. Субъектами административных правонарушений, предусмотренных статьей 19.29 КоАП РФ, являются граждане, должностные лица и юридические лица - работодатели либо заказчики работ (услуг), которые привлекли к трудовой деятельности на условиях трудового договора либо к выполнению работ или оказанию услуг на условиях гражданско-правового договора бывшего государственного (муниципального) служащего с нарушением требований, предусмотренных Федеральным законом "О противодействии коррупции".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Граждане (физические лица) подлежат административной ответственности по статье 19.29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Исходя из примечания к статье 2.4 КоАП РФ лицо, осуществляющее предпринимательскую деятельность без образования юридического лица, совершившее административное правонарушение, предусмотренное статьей 19.29 КоАП РФ, несет административную ответственность как должностное лицо, в том числе в случае, когда дело о данном административном правонарушении возбуждено после утраты данным лицом статуса индивидуального предпринимателя.</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К административной ответственности по статье 19.29 КоАП РФ подлежат привлечению должностные лица организации, занимающие должность руководителя или уполномоченные на подписание трудового (гражданско-правового) договора со стороны работодателя, в том числе и в тех случаях, когда обязанность по направлению соответствующего сообщения возложена на иное должностное лицо данной организации.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В силу положений части 1 статьи 1.5 КоАП РФ руководитель организации не может являться субъектом административного правонарушения, предусмотренного статьей 19.29 КоАП РФ, совершенного до его назначения на указанную должность. Однако это не исключает обязанности данного лица в случае выявления им нарушений требований части 4 статьи 12 Федерального закона "О противодействии коррупции", допущенных до его назначения на указанную должность, принять меры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частью 4 статьи 12 Федерального закона "О противодействии коррупции" срока не может являться основанием для его привлечения к административной ответственности.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Прекращение трудовых отношений с руководителем организации, допустившим в период исполнения им своих служебных обязанностей нарушение требований части 4 статьи 12 Федерального закона "О противодействии коррупции", не исключает возможности возбуждения в отношении этого лица производства по делу об административном правонарушении, предусмотренном статьей 19.29 КоАП РФ, и привлечения его к административной ответственности в качестве должностного лица.</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В случае, когда нарушение указанных требований допущено при трудоустройстве бывшего государственного (муниципального) служащего в организацию в качестве ее руководителя, привлечению к административной ответственности по статье 19.29 КоАП РФ подлежит должностное лицо, подписавшее с бывшим государственным (муниципальным) служащим трудовой договор.</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lastRenderedPageBreak/>
        <w:t>Обратить внимание судей на то, что исходя из толкования части 3 статьи 2.1 КоАП РФ привлечение к административной ответственности по статье 19.29 КоАП РФ должностного лица не освобождает от административной ответственности за данное правонарушение юридическое лицо,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установленной частью 4 статьи 12 Федерального закона "О противодействии коррупции" обязанности.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12. С учетом того, что обязанность по сообщению сведений о замещаемой гражданином в течение предшествующих трудоустройству двух лет должности государственной (муниципальной) службы, включенной в 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 к административной ответственности по статье 19.29 КоАП РФ (части 2, 4 и 5 статьи 12 Федерального закона "О противодействии коррупции").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13. Учитывая, что назначение виновному лицу административного наказания должно быть строго индивидуализировано, при наличии совокупности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в производстве которого находится дело о таком административном правонарушении, вправе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КоАП РФ (часть 3 и 3.2 статьи 4.1 КоАП РФ).</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Например, при решении вопроса о возможности назначения юридическому лицу наказания ниже низшего предела, установленного санкцией названной статьи, может быть учтен факт содействия юридического лица в раскрытии данного административного правонарушения,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Следует иметь в виду, что, поскольку санкция статьи 19.29 КоАП РФ не отвечает критериям, установленным частью 2.2 статьи 4.1 КоАП РФ для применения наказания ниже низшего предела в отношении граждан и должностных лиц, данный институт не подлежит применению при привлечении названных субъектов к административной ответственности по статье 19.29 КоАП РФ.</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14. В случае, когда административное правонарушение, предусмотренное статьей 19.29 КоАП РФ, не является существенным нарушением охраняемых общественных отношений в сфере противодействия коррупции (например, выразилось в нарушении требований к форме и содержанию сообщения, направляемого по последнему месту службы государственного (муниципального) служащего, которое не привело к неполучению необходимой для целей Федерального закона "О противодействии коррупции" информации), данное административное правонарушение может быть признано малозначительным.</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15. Объективная сторона состава административного правонарушения, предусмотренного статьей 19.29 КоАП РФ, выражается в нарушении 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(часть 1 статьи 4.5 КоАП РФ).</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Указанный срок начинает исчисляться со дня, следующего за днем совершения административного правонарушения, поскольку административное правонарушение, предусмотренное статьей 19.29 КоАП РФ, не является длящимся, в том числе в случае, когда его объективная сторона выразилась в несообщении в установленный законом срок представителю нанимателя (работодателю) бывшего государственного (муниципального) служащего по последнему месту его службы о заключении с последним трудового (гражданско-правового) договора.</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16. В силу части 4 статьи 4.1 КоАП РФ назначение виновному лицу административного наказания за совершение административного правонарушения, предусмотренного статьей 19.29 КоАП РФ, не освобождает данное лицо от исполнения требований, предусмотренных Федеральным законом "О противодействии коррупции".</w:t>
      </w:r>
    </w:p>
    <w:p w:rsidR="00201D64" w:rsidRPr="00201D64" w:rsidRDefault="00201D64" w:rsidP="00201D64">
      <w:pPr>
        <w:spacing w:after="0" w:line="240" w:lineRule="auto"/>
        <w:ind w:firstLine="709"/>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 xml:space="preserve">При рассмотрении дела об административном правонарушении, предусмотренном статьей 19.29 КоАП РФ, судьям следует принимать во внимание положения статьи 29.13 КоАП РФ о внесении в соответствующие организации и соответствующим должностным лицам, не </w:t>
      </w:r>
      <w:r w:rsidRPr="00201D64">
        <w:rPr>
          <w:rFonts w:ascii="Arial" w:eastAsia="Times New Roman" w:hAnsi="Arial" w:cs="Arial"/>
          <w:color w:val="242424"/>
          <w:sz w:val="20"/>
          <w:szCs w:val="20"/>
          <w:lang w:eastAsia="ru-RU"/>
        </w:rPr>
        <w:lastRenderedPageBreak/>
        <w:t>исполнившим предусмотренную статьей 12 Федерального закона "О противодействии коррупции" обязанность, представления о принятии мер по устранению причин и условий, способствующих совершению административного правонарушения.</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 </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Председатель</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Верховного Суда</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Российской Федерации</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В.М.ЛЕБЕДЕВ</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 </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Секретарь Пленума,</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судья Верховного Суда</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Российской Федерации</w:t>
      </w:r>
    </w:p>
    <w:p w:rsidR="00201D64" w:rsidRPr="00201D64" w:rsidRDefault="00201D64" w:rsidP="00201D64">
      <w:pPr>
        <w:spacing w:after="0" w:line="240" w:lineRule="auto"/>
        <w:jc w:val="both"/>
        <w:rPr>
          <w:rFonts w:ascii="Times New Roman" w:eastAsia="Times New Roman" w:hAnsi="Times New Roman" w:cs="Times New Roman"/>
          <w:color w:val="242424"/>
          <w:sz w:val="24"/>
          <w:szCs w:val="24"/>
          <w:lang w:eastAsia="ru-RU"/>
        </w:rPr>
      </w:pPr>
      <w:r w:rsidRPr="00201D64">
        <w:rPr>
          <w:rFonts w:ascii="Arial" w:eastAsia="Times New Roman" w:hAnsi="Arial" w:cs="Arial"/>
          <w:color w:val="242424"/>
          <w:sz w:val="20"/>
          <w:szCs w:val="20"/>
          <w:lang w:eastAsia="ru-RU"/>
        </w:rPr>
        <w:t>В.В.МОМОТОВ</w:t>
      </w:r>
    </w:p>
    <w:p w:rsidR="0008689B" w:rsidRDefault="0008689B"/>
    <w:sectPr w:rsidR="0008689B" w:rsidSect="00086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D64"/>
    <w:rsid w:val="00014356"/>
    <w:rsid w:val="0008689B"/>
    <w:rsid w:val="00097480"/>
    <w:rsid w:val="000F5C3F"/>
    <w:rsid w:val="001101BA"/>
    <w:rsid w:val="00191C11"/>
    <w:rsid w:val="001B4E7D"/>
    <w:rsid w:val="001C4B05"/>
    <w:rsid w:val="001F686B"/>
    <w:rsid w:val="00201D64"/>
    <w:rsid w:val="00216F95"/>
    <w:rsid w:val="00244918"/>
    <w:rsid w:val="00252E64"/>
    <w:rsid w:val="00264454"/>
    <w:rsid w:val="00291E22"/>
    <w:rsid w:val="002D59ED"/>
    <w:rsid w:val="003B75CB"/>
    <w:rsid w:val="00412F10"/>
    <w:rsid w:val="00413592"/>
    <w:rsid w:val="004239F3"/>
    <w:rsid w:val="00481F23"/>
    <w:rsid w:val="00497DDB"/>
    <w:rsid w:val="004B0992"/>
    <w:rsid w:val="004D6844"/>
    <w:rsid w:val="005819CC"/>
    <w:rsid w:val="005D785A"/>
    <w:rsid w:val="00662BE0"/>
    <w:rsid w:val="0067291B"/>
    <w:rsid w:val="00737F17"/>
    <w:rsid w:val="00744C90"/>
    <w:rsid w:val="00792BA5"/>
    <w:rsid w:val="00816407"/>
    <w:rsid w:val="00820BA3"/>
    <w:rsid w:val="008A5CD3"/>
    <w:rsid w:val="008D0972"/>
    <w:rsid w:val="008F73E2"/>
    <w:rsid w:val="0092304A"/>
    <w:rsid w:val="00941656"/>
    <w:rsid w:val="00963C5D"/>
    <w:rsid w:val="0096713B"/>
    <w:rsid w:val="009D5DF8"/>
    <w:rsid w:val="00A17FEE"/>
    <w:rsid w:val="00AB3555"/>
    <w:rsid w:val="00AB74FD"/>
    <w:rsid w:val="00AE2E4C"/>
    <w:rsid w:val="00C12A16"/>
    <w:rsid w:val="00C35509"/>
    <w:rsid w:val="00C72496"/>
    <w:rsid w:val="00CC703F"/>
    <w:rsid w:val="00CE1E20"/>
    <w:rsid w:val="00D06D6E"/>
    <w:rsid w:val="00D13549"/>
    <w:rsid w:val="00D230F6"/>
    <w:rsid w:val="00D52E15"/>
    <w:rsid w:val="00D5352A"/>
    <w:rsid w:val="00DA110B"/>
    <w:rsid w:val="00E7185A"/>
    <w:rsid w:val="00EA148B"/>
    <w:rsid w:val="00EB088D"/>
    <w:rsid w:val="00F11B9D"/>
    <w:rsid w:val="00F6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394605">
      <w:bodyDiv w:val="1"/>
      <w:marLeft w:val="0"/>
      <w:marRight w:val="0"/>
      <w:marTop w:val="0"/>
      <w:marBottom w:val="0"/>
      <w:divBdr>
        <w:top w:val="none" w:sz="0" w:space="0" w:color="auto"/>
        <w:left w:val="none" w:sz="0" w:space="0" w:color="auto"/>
        <w:bottom w:val="none" w:sz="0" w:space="0" w:color="auto"/>
        <w:right w:val="none" w:sz="0" w:space="0" w:color="auto"/>
      </w:divBdr>
      <w:divsChild>
        <w:div w:id="1654022306">
          <w:marLeft w:val="0"/>
          <w:marRight w:val="0"/>
          <w:marTop w:val="0"/>
          <w:marBottom w:val="0"/>
          <w:divBdr>
            <w:top w:val="none" w:sz="0" w:space="0" w:color="auto"/>
            <w:left w:val="none" w:sz="0" w:space="0" w:color="auto"/>
            <w:bottom w:val="none" w:sz="0" w:space="0" w:color="auto"/>
            <w:right w:val="none" w:sz="0" w:space="0" w:color="auto"/>
          </w:divBdr>
          <w:divsChild>
            <w:div w:id="1547989056">
              <w:marLeft w:val="150"/>
              <w:marRight w:val="0"/>
              <w:marTop w:val="0"/>
              <w:marBottom w:val="0"/>
              <w:divBdr>
                <w:top w:val="none" w:sz="0" w:space="0" w:color="auto"/>
                <w:left w:val="none" w:sz="0" w:space="0" w:color="auto"/>
                <w:bottom w:val="none" w:sz="0" w:space="0" w:color="auto"/>
                <w:right w:val="none" w:sz="0" w:space="0" w:color="auto"/>
              </w:divBdr>
              <w:divsChild>
                <w:div w:id="6274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2893</Words>
  <Characters>16493</Characters>
  <Application>Microsoft Office Word</Application>
  <DocSecurity>0</DocSecurity>
  <Lines>137</Lines>
  <Paragraphs>38</Paragraphs>
  <ScaleCrop>false</ScaleCrop>
  <Company>Роспотребнадзор</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Шуклина</dc:creator>
  <cp:keywords/>
  <dc:description/>
  <cp:lastModifiedBy>Шуклина</cp:lastModifiedBy>
  <cp:revision>1</cp:revision>
  <dcterms:created xsi:type="dcterms:W3CDTF">2018-02-14T09:41:00Z</dcterms:created>
  <dcterms:modified xsi:type="dcterms:W3CDTF">2018-02-14T09:41:00Z</dcterms:modified>
</cp:coreProperties>
</file>